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5.0 -->
  <w:body>
    <w:p>
      <w:pPr>
        <w:spacing w:before="0" w:after="0"/>
      </w:pPr>
      <w:r>
        <w:rPr>
          <w:strike w:val="0"/>
          <w:u w:val="none"/>
        </w:rPr>
        <w:drawing>
          <wp:anchor simplePos="0" relativeHeight="251658240" behindDoc="0" locked="0" layoutInCell="1" allowOverlap="1">
            <wp:simplePos x="0" y="0"/>
            <wp:positionH relativeFrom="column">
              <wp:posOffset>-830834</wp:posOffset>
            </wp:positionH>
            <wp:positionV relativeFrom="paragraph">
              <wp:posOffset>-968375</wp:posOffset>
            </wp:positionV>
            <wp:extent cx="7686675" cy="1362075"/>
            <wp:wrapNone/>
            <wp:docPr id="100001" name="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866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 </w:t>
      </w:r>
    </w:p>
    <w:p>
      <w:pPr>
        <w:spacing w:before="0" w:after="0"/>
      </w:pPr>
      <w:r>
        <w:t> </w:t>
      </w:r>
    </w:p>
    <w:p>
      <w:pPr>
        <w:spacing w:before="0" w:after="0"/>
      </w:pPr>
      <w:r>
        <w:t> </w:t>
      </w:r>
    </w:p>
    <w:p>
      <w:pPr>
        <w:spacing w:before="0" w:after="0"/>
      </w:pPr>
      <w:r>
        <w:t> </w:t>
      </w:r>
    </w:p>
    <w:p>
      <w:pPr>
        <w:spacing w:before="280" w:after="280" w:line="360" w:lineRule="auto"/>
      </w:pPr>
      <w:r>
        <w:rPr>
          <w:rFonts w:ascii="Arial" w:eastAsia="Arial" w:hAnsi="Arial" w:cs="Arial"/>
        </w:rPr>
        <w:t xml:space="preserve">INDIRIZZO: </w:t>
      </w:r>
      <w:r>
        <w:rPr>
          <w:rFonts w:ascii="Arial" w:eastAsia="Arial" w:hAnsi="Arial" w:cs="Arial"/>
          <w:b/>
          <w:bCs/>
        </w:rPr>
        <w:t>ITI "Informatica e Telecomunicazioni"</w:t>
      </w:r>
    </w:p>
    <w:p>
      <w:pPr>
        <w:spacing w:before="280" w:after="280" w:line="360" w:lineRule="auto"/>
      </w:pPr>
      <w:r>
        <w:rPr>
          <w:rFonts w:ascii="Arial" w:eastAsia="Arial" w:hAnsi="Arial" w:cs="Arial"/>
        </w:rPr>
        <w:t>ANNO SCOLASTICO: 2</w:t>
      </w:r>
      <w:r>
        <w:rPr>
          <w:rFonts w:ascii="Arial" w:eastAsia="Arial" w:hAnsi="Arial" w:cs="Arial"/>
          <w:b/>
          <w:bCs/>
        </w:rPr>
        <w:t xml:space="preserve">022/2023 </w:t>
      </w:r>
      <w:r>
        <w:rPr>
          <w:rFonts w:ascii="Arial" w:eastAsia="Arial" w:hAnsi="Arial" w:cs="Arial"/>
        </w:rPr>
        <w:t xml:space="preserve">CLASSE: </w:t>
      </w:r>
      <w:r>
        <w:rPr>
          <w:rFonts w:ascii="Arial" w:eastAsia="Arial" w:hAnsi="Arial" w:cs="Arial"/>
          <w:b/>
          <w:bCs/>
        </w:rPr>
        <w:t xml:space="preserve">SECONDA </w:t>
      </w:r>
      <w:r>
        <w:rPr>
          <w:rFonts w:ascii="Arial" w:eastAsia="Arial" w:hAnsi="Arial" w:cs="Arial"/>
        </w:rPr>
        <w:t>SEZIONE: N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DISCIPLINA: </w:t>
      </w:r>
      <w:r>
        <w:rPr>
          <w:rFonts w:ascii="Arial" w:eastAsia="Arial" w:hAnsi="Arial" w:cs="Arial"/>
          <w:b/>
          <w:bCs/>
        </w:rPr>
        <w:t xml:space="preserve">T.T.R.G.E. </w:t>
      </w:r>
      <w:r>
        <w:rPr>
          <w:rFonts w:ascii="Arial" w:eastAsia="Arial" w:hAnsi="Arial" w:cs="Arial"/>
        </w:rPr>
        <w:t>(disegno)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DOCENTE: </w:t>
      </w:r>
      <w:r>
        <w:rPr>
          <w:rFonts w:ascii="Arial" w:eastAsia="Arial" w:hAnsi="Arial" w:cs="Arial"/>
          <w:b/>
          <w:bCs/>
        </w:rPr>
        <w:t>CARLO BOTTAZZI</w:t>
      </w:r>
      <w:r>
        <w:rPr>
          <w:rFonts w:ascii="Arial" w:eastAsia="Arial" w:hAnsi="Arial" w:cs="Arial"/>
          <w:b/>
          <w:bCs/>
        </w:rPr>
        <w:t> </w:t>
      </w:r>
    </w:p>
    <w:p>
      <w:pPr>
        <w:spacing w:before="0" w:after="0"/>
      </w:pPr>
      <w:r>
        <w:rPr>
          <w:rFonts w:ascii="Arial" w:eastAsia="Arial" w:hAnsi="Arial" w:cs="Arial"/>
        </w:rPr>
        <w:t> </w:t>
      </w:r>
    </w:p>
    <w:p>
      <w:pPr>
        <w:spacing w:before="0" w:after="0"/>
      </w:pPr>
      <w:r>
        <w:rPr>
          <w:rFonts w:ascii="Arial" w:eastAsia="Arial" w:hAnsi="Arial" w:cs="Arial"/>
        </w:rPr>
        <w:t> </w:t>
      </w:r>
    </w:p>
    <w:p>
      <w:pPr>
        <w:spacing w:before="0" w:after="0"/>
      </w:pPr>
      <w:r>
        <w:rPr>
          <w:rFonts w:ascii="Arial" w:eastAsia="Arial" w:hAnsi="Arial" w:cs="Arial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Sistemi proiettivi bidimensionali e tridimensionali di solidi complessi </w:t>
      </w:r>
    </w:p>
    <w:p>
      <w:pPr>
        <w:numPr>
          <w:ilvl w:val="0"/>
          <w:numId w:val="1"/>
        </w:numPr>
        <w:pBdr>
          <w:left w:val="none" w:sz="0" w:space="7" w:color="auto"/>
        </w:pBdr>
        <w:spacing w:before="280"/>
        <w:ind w:left="72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z w:val="26"/>
          <w:szCs w:val="26"/>
        </w:rPr>
        <w:t>Norme e convenzioni grafiche delle sezioni</w:t>
      </w:r>
      <w:r>
        <w:rPr>
          <w:rFonts w:ascii="Symbol" w:eastAsia="Symbol" w:hAnsi="Symbol" w:cs="Symbol"/>
          <w:sz w:val="26"/>
          <w:szCs w:val="26"/>
        </w:rPr>
        <w:sym w:font="Symbol" w:char="F020"/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z w:val="26"/>
          <w:szCs w:val="26"/>
        </w:rPr>
        <w:t xml:space="preserve">Sezioni di solidi geometrici e ricerca della vera forma </w:t>
      </w:r>
    </w:p>
    <w:p>
      <w:pPr>
        <w:numPr>
          <w:ilvl w:val="0"/>
          <w:numId w:val="1"/>
        </w:numPr>
        <w:pBdr>
          <w:left w:val="none" w:sz="0" w:space="7" w:color="auto"/>
        </w:pBdr>
        <w:spacing w:after="0"/>
        <w:ind w:left="720" w:right="0" w:hanging="36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Proiezioni ortogonali di particolari meccanici (approfondimenti)</w:t>
      </w:r>
      <w:r>
        <w:rPr>
          <w:rFonts w:ascii="Symbol" w:eastAsia="Symbol" w:hAnsi="Symbol" w:cs="Symbol"/>
        </w:rPr>
        <w:sym w:font="Symbol" w:char="F020"/>
      </w:r>
    </w:p>
    <w:p>
      <w:pPr>
        <w:spacing w:before="280" w:after="280"/>
        <w:ind w:left="851"/>
      </w:pPr>
      <w:r>
        <w:rPr>
          <w:rFonts w:ascii="Arial" w:eastAsia="Arial" w:hAnsi="Arial" w:cs="Arial"/>
        </w:rPr>
        <w:t> </w:t>
      </w:r>
    </w:p>
    <w:p>
      <w:pPr>
        <w:spacing w:before="280" w:after="280"/>
        <w:rPr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Sistemi di quotatura </w:t>
      </w:r>
    </w:p>
    <w:p>
      <w:pPr>
        <w:numPr>
          <w:ilvl w:val="0"/>
          <w:numId w:val="2"/>
        </w:numPr>
        <w:tabs>
          <w:tab w:val="left" w:pos="1080"/>
        </w:tabs>
        <w:spacing w:before="280" w:after="0"/>
        <w:ind w:left="1080" w:hanging="360"/>
        <w:rPr>
          <w:sz w:val="26"/>
          <w:szCs w:val="26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sz w:val="14"/>
          <w:szCs w:val="14"/>
        </w:rPr>
        <w:t xml:space="preserve">         </w:t>
      </w:r>
      <w:r>
        <w:rPr>
          <w:rFonts w:ascii="Arial" w:eastAsia="Arial" w:hAnsi="Arial" w:cs="Arial"/>
          <w:sz w:val="26"/>
          <w:szCs w:val="26"/>
        </w:rPr>
        <w:t>La quotatura dei disegni:</w:t>
      </w:r>
    </w:p>
    <w:p>
      <w:pPr>
        <w:numPr>
          <w:ilvl w:val="0"/>
          <w:numId w:val="2"/>
        </w:numPr>
        <w:tabs>
          <w:tab w:val="left" w:pos="1080"/>
        </w:tabs>
        <w:spacing w:before="0" w:after="0"/>
        <w:ind w:left="1080" w:hanging="360"/>
        <w:rPr>
          <w:sz w:val="26"/>
          <w:szCs w:val="26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</w:t>
      </w:r>
      <w:r>
        <w:rPr>
          <w:rFonts w:ascii="Arial" w:eastAsia="Arial" w:hAnsi="Arial" w:cs="Arial"/>
        </w:rPr>
        <w:t>-</w:t>
      </w:r>
      <w:r>
        <w:rPr>
          <w:sz w:val="14"/>
          <w:szCs w:val="14"/>
        </w:rPr>
        <w:t xml:space="preserve">          </w:t>
      </w:r>
      <w:r>
        <w:rPr>
          <w:rFonts w:ascii="Arial" w:eastAsia="Arial" w:hAnsi="Arial" w:cs="Arial"/>
          <w:sz w:val="26"/>
          <w:szCs w:val="26"/>
        </w:rPr>
        <w:t xml:space="preserve">linee di misura e di riferimento, </w:t>
      </w:r>
    </w:p>
    <w:p>
      <w:pPr>
        <w:numPr>
          <w:ilvl w:val="0"/>
          <w:numId w:val="2"/>
        </w:numPr>
        <w:tabs>
          <w:tab w:val="left" w:pos="1080"/>
        </w:tabs>
        <w:spacing w:before="0" w:after="0"/>
        <w:ind w:left="1080" w:hanging="360"/>
        <w:rPr>
          <w:sz w:val="26"/>
          <w:szCs w:val="26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</w:t>
      </w:r>
      <w:r>
        <w:rPr>
          <w:rFonts w:ascii="Arial" w:eastAsia="Arial" w:hAnsi="Arial" w:cs="Arial"/>
        </w:rPr>
        <w:t>-</w:t>
      </w:r>
      <w:r>
        <w:rPr>
          <w:sz w:val="14"/>
          <w:szCs w:val="14"/>
        </w:rPr>
        <w:t xml:space="preserve">          </w:t>
      </w:r>
      <w:r>
        <w:rPr>
          <w:rFonts w:ascii="Arial" w:eastAsia="Arial" w:hAnsi="Arial" w:cs="Arial"/>
          <w:sz w:val="26"/>
          <w:szCs w:val="26"/>
        </w:rPr>
        <w:t xml:space="preserve">scrittura delle quote </w:t>
      </w:r>
    </w:p>
    <w:p>
      <w:pPr>
        <w:numPr>
          <w:ilvl w:val="0"/>
          <w:numId w:val="2"/>
        </w:numPr>
        <w:tabs>
          <w:tab w:val="left" w:pos="1080"/>
        </w:tabs>
        <w:spacing w:before="0" w:after="0"/>
        <w:ind w:left="1080" w:hanging="360"/>
        <w:rPr>
          <w:sz w:val="26"/>
          <w:szCs w:val="26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sz w:val="14"/>
          <w:szCs w:val="14"/>
        </w:rPr>
        <w:t xml:space="preserve">         </w:t>
      </w:r>
      <w:r>
        <w:rPr>
          <w:rFonts w:ascii="Arial" w:eastAsia="Arial" w:hAnsi="Arial" w:cs="Arial"/>
          <w:sz w:val="26"/>
          <w:szCs w:val="26"/>
        </w:rPr>
        <w:t>sistemi di quotatura</w:t>
      </w:r>
      <w:r>
        <w:rPr>
          <w:rFonts w:ascii="Symbol" w:eastAsia="Symbol" w:hAnsi="Symbol" w:cs="Symbol"/>
          <w:sz w:val="26"/>
          <w:szCs w:val="26"/>
        </w:rPr>
        <w:sym w:font="Symbol" w:char="F020"/>
      </w:r>
    </w:p>
    <w:p>
      <w:pPr>
        <w:numPr>
          <w:ilvl w:val="0"/>
          <w:numId w:val="2"/>
        </w:numPr>
        <w:tabs>
          <w:tab w:val="left" w:pos="1134"/>
        </w:tabs>
        <w:spacing w:before="0" w:after="280"/>
        <w:ind w:left="1134" w:hanging="360"/>
        <w:rPr>
          <w:sz w:val="26"/>
          <w:szCs w:val="26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</w:t>
      </w:r>
      <w:r>
        <w:rPr>
          <w:rFonts w:ascii="Arial" w:eastAsia="Arial" w:hAnsi="Arial" w:cs="Arial"/>
        </w:rPr>
        <w:t>-</w:t>
      </w:r>
      <w:r>
        <w:rPr>
          <w:sz w:val="14"/>
          <w:szCs w:val="14"/>
        </w:rPr>
        <w:t xml:space="preserve">          </w:t>
      </w:r>
      <w:r>
        <w:rPr>
          <w:rFonts w:ascii="Arial" w:eastAsia="Arial" w:hAnsi="Arial" w:cs="Arial"/>
          <w:sz w:val="26"/>
          <w:szCs w:val="26"/>
        </w:rPr>
        <w:t>Proiezione ortogonali quotate di oggetti semplici e composti rappresentati in proiezione ortogonale e in assonometria</w:t>
      </w:r>
    </w:p>
    <w:p>
      <w:pPr>
        <w:spacing w:before="280" w:after="280"/>
        <w:ind w:left="720"/>
      </w:pPr>
      <w:r>
        <w:rPr>
          <w:rFonts w:ascii="Arial" w:eastAsia="Arial" w:hAnsi="Arial" w:cs="Arial"/>
        </w:rPr>
        <w:t> </w:t>
      </w:r>
    </w:p>
    <w:p>
      <w:pPr>
        <w:spacing w:before="280" w:after="280"/>
        <w:rPr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Tecniche CAD </w:t>
      </w:r>
    </w:p>
    <w:p>
      <w:pPr>
        <w:numPr>
          <w:ilvl w:val="0"/>
          <w:numId w:val="3"/>
        </w:numPr>
        <w:pBdr>
          <w:left w:val="none" w:sz="0" w:space="8" w:color="auto"/>
        </w:pBdr>
        <w:spacing w:before="280"/>
        <w:ind w:left="72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Campi di applicazione del CAD </w:t>
      </w:r>
    </w:p>
    <w:p>
      <w:pPr>
        <w:numPr>
          <w:ilvl w:val="0"/>
          <w:numId w:val="3"/>
        </w:numPr>
        <w:pBdr>
          <w:left w:val="none" w:sz="0" w:space="8" w:color="auto"/>
        </w:pBdr>
        <w:ind w:left="72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Uso dei comandi </w:t>
      </w:r>
    </w:p>
    <w:p>
      <w:pPr>
        <w:numPr>
          <w:ilvl w:val="0"/>
          <w:numId w:val="3"/>
        </w:numPr>
        <w:pBdr>
          <w:left w:val="none" w:sz="0" w:space="8" w:color="auto"/>
        </w:pBdr>
        <w:ind w:left="72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Disegno di elementi semplici </w:t>
      </w:r>
    </w:p>
    <w:p>
      <w:pPr>
        <w:numPr>
          <w:ilvl w:val="0"/>
          <w:numId w:val="3"/>
        </w:numPr>
        <w:pBdr>
          <w:left w:val="none" w:sz="0" w:space="8" w:color="auto"/>
        </w:pBdr>
        <w:ind w:left="72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Disegno di solidi composti e complessivi </w:t>
      </w:r>
    </w:p>
    <w:p>
      <w:pPr>
        <w:numPr>
          <w:ilvl w:val="0"/>
          <w:numId w:val="3"/>
        </w:numPr>
        <w:pBdr>
          <w:left w:val="none" w:sz="0" w:space="8" w:color="auto"/>
        </w:pBdr>
        <w:ind w:left="72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Applicazione pratica per il disegno di proiezioni ortogonali, di solidi sezionati, solidi ribaltati e solidi quotati. </w:t>
      </w:r>
    </w:p>
    <w:p>
      <w:pPr>
        <w:numPr>
          <w:ilvl w:val="0"/>
          <w:numId w:val="3"/>
        </w:numPr>
        <w:pBdr>
          <w:left w:val="none" w:sz="0" w:space="8" w:color="auto"/>
        </w:pBdr>
        <w:spacing w:after="280"/>
        <w:ind w:left="72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Applicazione pratica ad un esecutivo semplice di solido sezionato e quotato</w:t>
      </w:r>
    </w:p>
    <w:p>
      <w:pPr>
        <w:spacing w:before="280" w:after="280"/>
      </w:pPr>
      <w:r>
        <w:rPr>
          <w:rFonts w:ascii="Arial" w:eastAsia="Arial" w:hAnsi="Arial" w:cs="Arial"/>
        </w:rPr>
        <w:t> </w:t>
      </w:r>
    </w:p>
    <w:p>
      <w:pPr>
        <w:spacing w:before="280" w:after="280"/>
      </w:pPr>
      <w:r>
        <w:rPr>
          <w:rFonts w:ascii="Arial" w:eastAsia="Arial" w:hAnsi="Arial" w:cs="Arial"/>
        </w:rPr>
        <w:t> </w:t>
      </w:r>
    </w:p>
    <w:p>
      <w:pPr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spacing w:before="280" w:after="280"/>
      </w:pPr>
      <w:r>
        <w:rPr>
          <w:rFonts w:ascii="Arial" w:eastAsia="Arial" w:hAnsi="Arial" w:cs="Arial"/>
        </w:rPr>
        <w:t> </w:t>
      </w:r>
    </w:p>
    <w:p>
      <w:pPr>
        <w:spacing w:before="280" w:after="280"/>
        <w:jc w:val="both"/>
      </w:pPr>
      <w:r>
        <w:rPr>
          <w:rFonts w:ascii="Arial" w:eastAsia="Arial" w:hAnsi="Arial" w:cs="Arial"/>
          <w:b/>
          <w:bCs/>
        </w:rPr>
        <w:t> </w:t>
      </w:r>
    </w:p>
    <w:p>
      <w:pPr>
        <w:spacing w:before="280" w:after="280"/>
        <w:jc w:val="both"/>
      </w:pPr>
      <w:r>
        <w:rPr>
          <w:rFonts w:ascii="Arial" w:eastAsia="Arial" w:hAnsi="Arial" w:cs="Arial"/>
          <w:b/>
          <w:bCs/>
        </w:rPr>
        <w:t> </w:t>
      </w:r>
    </w:p>
    <w:p>
      <w:pPr>
        <w:spacing w:before="0"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Alba, 08/06/2023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</w:p>
    <w:p>
      <w:pPr>
        <w:spacing w:before="0" w:after="0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 </w:t>
      </w:r>
    </w:p>
    <w:p>
      <w:pPr>
        <w:spacing w:before="0" w:after="0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 </w:t>
      </w:r>
    </w:p>
    <w:p>
      <w:pPr>
        <w:spacing w:before="0"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                         </w:t>
      </w:r>
      <w:r>
        <w:rPr>
          <w:rFonts w:ascii="Arial Narrow" w:eastAsia="Arial Narrow" w:hAnsi="Arial Narrow" w:cs="Arial Narrow"/>
          <w:sz w:val="20"/>
          <w:szCs w:val="20"/>
        </w:rPr>
        <w:t>Il Docenti</w:t>
      </w:r>
    </w:p>
    <w:p>
      <w:pPr>
        <w:spacing w:before="0" w:after="0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Arial Narrow" w:eastAsia="Arial Narrow" w:hAnsi="Arial Narrow" w:cs="Arial Narrow"/>
          <w:sz w:val="20"/>
          <w:szCs w:val="20"/>
        </w:rPr>
        <w:t>Carlo Bottazzi</w:t>
      </w:r>
    </w:p>
    <w:p>
      <w:pPr>
        <w:spacing w:before="280" w:after="280"/>
        <w:jc w:val="both"/>
      </w:pPr>
      <w:r>
        <w:rPr>
          <w:rFonts w:ascii="Arial" w:eastAsia="Arial" w:hAnsi="Arial" w:cs="Arial"/>
          <w:b/>
          <w:bCs/>
        </w:rPr>
        <w:t> </w:t>
      </w:r>
    </w:p>
    <w:p>
      <w:pPr>
        <w:spacing w:before="0" w:after="0"/>
        <w:jc w:val="center"/>
        <w:rPr>
          <w:sz w:val="23"/>
          <w:szCs w:val="23"/>
        </w:rPr>
      </w:pP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>
        <w:rPr>
          <w:rFonts w:ascii="Arial" w:eastAsia="Arial" w:hAnsi="Arial" w:cs="Arial"/>
          <w:sz w:val="23"/>
          <w:szCs w:val="23"/>
        </w:rPr>
        <w:t> </w:t>
      </w:r>
    </w:p>
    <w:p>
      <w:pPr>
        <w:spacing w:before="280" w:after="280"/>
        <w:ind w:left="720"/>
        <w:jc w:val="both"/>
      </w:pPr>
      <w:r>
        <w:rPr>
          <w:rFonts w:ascii="Arial" w:eastAsia="Arial" w:hAnsi="Arial" w:cs="Arial"/>
        </w:rPr>
        <w:t> </w:t>
      </w:r>
    </w:p>
    <w:p>
      <w:pPr>
        <w:spacing w:before="0" w:after="0"/>
      </w:pP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